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宋体" w:hAnsi="宋体" w:cs="宋体"/>
          <w:b/>
          <w:color w:val="000000"/>
          <w:kern w:val="0"/>
          <w:sz w:val="28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>邯山区职教中心</w:t>
      </w:r>
    </w:p>
    <w:p>
      <w:pPr>
        <w:widowControl/>
        <w:spacing w:line="700" w:lineRule="exact"/>
        <w:jc w:val="center"/>
        <w:rPr>
          <w:rFonts w:ascii="宋体" w:hAnsi="宋体" w:cs="宋体"/>
          <w:b/>
          <w:color w:val="000000"/>
          <w:kern w:val="0"/>
          <w:sz w:val="28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>教师“信息化课堂教学”比赛活动方案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为提高教师教育技术应用能力和信息化教学水平，本学期举行我校信息化课堂教学比赛活动。 </w:t>
      </w:r>
    </w:p>
    <w:p>
      <w:pPr>
        <w:widowControl/>
        <w:spacing w:line="240" w:lineRule="atLeast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一、组委会</w:t>
      </w:r>
    </w:p>
    <w:p>
      <w:pPr>
        <w:widowControl/>
        <w:spacing w:line="240" w:lineRule="atLeast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组长：吴刚明</w:t>
      </w:r>
    </w:p>
    <w:p>
      <w:pPr>
        <w:widowControl/>
        <w:spacing w:line="240" w:lineRule="atLeast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副组长：王武</w:t>
      </w:r>
    </w:p>
    <w:p>
      <w:pPr>
        <w:widowControl/>
        <w:spacing w:line="240" w:lineRule="atLeast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成员：刘军梅  马建新  程树信</w:t>
      </w:r>
    </w:p>
    <w:p>
      <w:pPr>
        <w:widowControl/>
        <w:spacing w:line="240" w:lineRule="atLeast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二、参赛范围</w:t>
      </w:r>
    </w:p>
    <w:p>
      <w:pPr>
        <w:widowControl/>
        <w:spacing w:line="240" w:lineRule="atLeast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全体任课教师（包括外聘教师）。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三、</w:t>
      </w:r>
      <w:r>
        <w:rPr>
          <w:rFonts w:hint="eastAsia" w:ascii="仿宋_GB2312" w:hAnsi="宋体" w:eastAsia="仿宋_GB2312"/>
          <w:sz w:val="32"/>
          <w:szCs w:val="32"/>
        </w:rPr>
        <w:t>具体</w:t>
      </w:r>
      <w:r>
        <w:rPr>
          <w:rFonts w:ascii="仿宋_GB2312" w:hAnsi="宋体" w:eastAsia="仿宋_GB2312"/>
          <w:sz w:val="32"/>
          <w:szCs w:val="32"/>
        </w:rPr>
        <w:t>安排</w:t>
      </w:r>
    </w:p>
    <w:p>
      <w:pPr>
        <w:snapToGrid w:val="0"/>
        <w:spacing w:line="54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竞赛采取</w:t>
      </w:r>
      <w:r>
        <w:rPr>
          <w:rFonts w:hint="eastAsia" w:ascii="仿宋_GB2312" w:hAnsi="宋体" w:eastAsia="仿宋_GB2312"/>
          <w:sz w:val="32"/>
          <w:szCs w:val="32"/>
        </w:rPr>
        <w:t>组内初赛</w:t>
      </w:r>
      <w:r>
        <w:rPr>
          <w:rFonts w:ascii="仿宋_GB2312" w:hAnsi="宋体" w:eastAsia="仿宋_GB2312"/>
          <w:sz w:val="32"/>
          <w:szCs w:val="32"/>
        </w:rPr>
        <w:t>和学</w:t>
      </w:r>
      <w:r>
        <w:rPr>
          <w:rFonts w:hint="eastAsia" w:ascii="仿宋_GB2312" w:hAnsi="宋体" w:eastAsia="仿宋_GB2312"/>
          <w:sz w:val="32"/>
          <w:szCs w:val="32"/>
        </w:rPr>
        <w:t>校</w:t>
      </w:r>
      <w:r>
        <w:rPr>
          <w:rFonts w:ascii="仿宋_GB2312" w:hAnsi="宋体" w:eastAsia="仿宋_GB2312"/>
          <w:sz w:val="32"/>
          <w:szCs w:val="32"/>
        </w:rPr>
        <w:t>决赛的方式</w:t>
      </w:r>
      <w:r>
        <w:rPr>
          <w:rFonts w:hint="eastAsia" w:ascii="仿宋_GB2312" w:hAnsi="宋体" w:eastAsia="仿宋_GB2312"/>
          <w:sz w:val="32"/>
          <w:szCs w:val="32"/>
        </w:rPr>
        <w:t>，分三个阶段</w:t>
      </w:r>
      <w:r>
        <w:rPr>
          <w:rFonts w:ascii="仿宋_GB2312" w:hAnsi="宋体" w:eastAsia="仿宋_GB2312"/>
          <w:sz w:val="32"/>
          <w:szCs w:val="32"/>
        </w:rPr>
        <w:t>进行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第一阶段：</w:t>
      </w:r>
      <w:r>
        <w:rPr>
          <w:rFonts w:hint="eastAsia" w:ascii="仿宋_GB2312" w:hAnsi="宋体" w:eastAsia="仿宋_GB2312"/>
          <w:sz w:val="32"/>
          <w:szCs w:val="32"/>
        </w:rPr>
        <w:t>准备阶段 （10月9日</w:t>
      </w:r>
      <w:r>
        <w:rPr>
          <w:rFonts w:ascii="仿宋_GB2312" w:hAnsi="宋体" w:eastAsia="仿宋_GB2312"/>
          <w:sz w:val="32"/>
          <w:szCs w:val="32"/>
        </w:rPr>
        <w:t>—</w:t>
      </w:r>
      <w:r>
        <w:rPr>
          <w:rFonts w:hint="eastAsia" w:ascii="仿宋_GB2312" w:hAnsi="宋体" w:eastAsia="仿宋_GB2312"/>
          <w:sz w:val="32"/>
          <w:szCs w:val="32"/>
        </w:rPr>
        <w:t>10月20日）</w:t>
      </w:r>
    </w:p>
    <w:p>
      <w:pPr>
        <w:snapToGrid w:val="0"/>
        <w:spacing w:line="54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教研室下发比赛方案，部署任务，各任课教师书写信息</w:t>
      </w:r>
    </w:p>
    <w:p>
      <w:pPr>
        <w:snapToGrid w:val="0"/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化教学设计方案交分组教研时所在组组长。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第二阶段：</w:t>
      </w:r>
      <w:r>
        <w:rPr>
          <w:rFonts w:hint="eastAsia" w:ascii="仿宋_GB2312" w:hAnsi="宋体" w:eastAsia="仿宋_GB2312"/>
          <w:sz w:val="32"/>
          <w:szCs w:val="32"/>
        </w:rPr>
        <w:t>初赛阶段（10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23</w:t>
      </w:r>
      <w:r>
        <w:rPr>
          <w:rFonts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</w:rPr>
        <w:t>11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24</w:t>
      </w:r>
      <w:r>
        <w:rPr>
          <w:rFonts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（一）各初评小组评委名单：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文科组：张红梅 马建新 刘海霞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理科组：李玉秀 刘军梅 周丽萍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计算机专业组： 张绍金 贾海波 鲁建英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学前专业组：郭艳红 王德会 董彩萍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英语、畜牧专业组：赵承露 程树信 刘淑温 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（二）各初评小组按照拟定的教师授课时间顺序，对组内教师进行听评课。并按本组参赛教师总数1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／</w:t>
      </w:r>
      <w:r>
        <w:rPr>
          <w:rFonts w:hint="eastAsia" w:ascii="仿宋_GB2312" w:hAnsi="宋体" w:eastAsia="仿宋_GB2312"/>
          <w:sz w:val="32"/>
          <w:szCs w:val="32"/>
        </w:rPr>
        <w:t>5比例推荐参加决赛。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第三阶段：</w:t>
      </w:r>
      <w:r>
        <w:rPr>
          <w:rFonts w:hint="eastAsia" w:ascii="仿宋_GB2312" w:hAnsi="宋体" w:eastAsia="仿宋_GB2312"/>
          <w:sz w:val="32"/>
          <w:szCs w:val="32"/>
        </w:rPr>
        <w:t>决赛和课堂实录阶段（11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27</w:t>
      </w:r>
      <w:r>
        <w:rPr>
          <w:rFonts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</w:rPr>
        <w:t>12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（一）决赛评委：刘军梅 马建新 程树信 王德会 郭艳红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（二）记分：贾海波 刘海霞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（三）摄像：常巧梅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（四）评委对进入决赛</w:t>
      </w:r>
      <w:r>
        <w:rPr>
          <w:rFonts w:ascii="仿宋_GB2312" w:hAnsi="宋体" w:eastAsia="仿宋_GB2312"/>
          <w:sz w:val="32"/>
          <w:szCs w:val="32"/>
        </w:rPr>
        <w:t>教师</w:t>
      </w:r>
      <w:r>
        <w:rPr>
          <w:rFonts w:hint="eastAsia" w:ascii="仿宋_GB2312" w:hAnsi="宋体" w:eastAsia="仿宋_GB2312"/>
          <w:sz w:val="32"/>
          <w:szCs w:val="32"/>
        </w:rPr>
        <w:t>课堂教学进行评分，并对教学全过程进行课堂实录。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四、奖励办法</w:t>
      </w:r>
    </w:p>
    <w:p>
      <w:pPr>
        <w:snapToGrid w:val="0"/>
        <w:spacing w:line="540" w:lineRule="exact"/>
        <w:ind w:firstLine="614" w:firstLineChars="192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本次比赛设</w:t>
      </w:r>
      <w:r>
        <w:rPr>
          <w:rFonts w:ascii="仿宋_GB2312" w:hAnsi="宋体" w:eastAsia="仿宋_GB2312"/>
          <w:sz w:val="32"/>
          <w:szCs w:val="32"/>
        </w:rPr>
        <w:t>一等奖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（每人奖品价值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300元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二等</w:t>
      </w:r>
      <w:r>
        <w:rPr>
          <w:rFonts w:hint="eastAsia" w:ascii="仿宋_GB2312" w:hAnsi="宋体" w:eastAsia="仿宋_GB2312"/>
          <w:sz w:val="32"/>
          <w:szCs w:val="32"/>
        </w:rPr>
        <w:t>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（每人奖品价值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200元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三等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（每人奖品价值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100元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，优秀奖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（每人奖品价值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50元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），鼓励奖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60人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（每人奖品价值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）。</w:t>
      </w: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ind w:firstLine="4800" w:firstLineChars="15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邯山区职教中心</w:t>
      </w:r>
    </w:p>
    <w:p>
      <w:pPr>
        <w:snapToGrid w:val="0"/>
        <w:spacing w:line="540" w:lineRule="exact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2017年10月</w:t>
      </w:r>
    </w:p>
    <w:p>
      <w:pPr>
        <w:snapToGrid w:val="0"/>
        <w:spacing w:line="540" w:lineRule="exact"/>
        <w:ind w:firstLine="6560" w:firstLineChars="2050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ind w:firstLine="6560" w:firstLineChars="205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540" w:lineRule="exact"/>
        <w:ind w:firstLine="6560" w:firstLineChars="2050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附件1：信息化教学设计</w:t>
      </w:r>
      <w:r>
        <w:rPr>
          <w:rFonts w:ascii="仿宋_GB2312" w:hAnsi="宋体" w:eastAsia="仿宋_GB2312"/>
          <w:sz w:val="36"/>
          <w:szCs w:val="36"/>
        </w:rPr>
        <w:t>评分表</w:t>
      </w:r>
    </w:p>
    <w:p>
      <w:pPr>
        <w:snapToGrid w:val="0"/>
        <w:spacing w:line="540" w:lineRule="exact"/>
        <w:rPr>
          <w:rFonts w:ascii="仿宋_GB2312" w:hAnsi="宋体" w:eastAsia="仿宋_GB2312"/>
          <w:sz w:val="28"/>
          <w:szCs w:val="28"/>
        </w:rPr>
      </w:pPr>
    </w:p>
    <w:tbl>
      <w:tblPr>
        <w:tblStyle w:val="5"/>
        <w:tblW w:w="919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030"/>
        <w:gridCol w:w="925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11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指标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内容与要求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分值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211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教学设计或教学性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1.教学目标、内容及要求准确，符合新大纲要求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40</w:t>
            </w:r>
          </w:p>
        </w:tc>
        <w:tc>
          <w:tcPr>
            <w:tcW w:w="102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11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2.所选教学内容适合于体现多媒体技术的优势</w:t>
            </w:r>
          </w:p>
        </w:tc>
        <w:tc>
          <w:tcPr>
            <w:tcW w:w="92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2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211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3.教学策略得当，运用信息技术解决重难点问题或者完成特定教学任务的作用突出，教学效果显著</w:t>
            </w:r>
          </w:p>
        </w:tc>
        <w:tc>
          <w:tcPr>
            <w:tcW w:w="92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2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211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内容呈现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1.教案写作规范、完整、突出信息化教学特点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25</w:t>
            </w:r>
          </w:p>
        </w:tc>
        <w:tc>
          <w:tcPr>
            <w:tcW w:w="102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211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2.教学内容表述准确，术语规范</w:t>
            </w:r>
          </w:p>
        </w:tc>
        <w:tc>
          <w:tcPr>
            <w:tcW w:w="92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2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11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3.选用多媒体素材适当，表现方式合理</w:t>
            </w:r>
          </w:p>
        </w:tc>
        <w:tc>
          <w:tcPr>
            <w:tcW w:w="92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2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11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技术应用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1.信息技术在教学中应用恰当，图、文、音、视、动画等多媒体形式运用合理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25</w:t>
            </w:r>
          </w:p>
        </w:tc>
        <w:tc>
          <w:tcPr>
            <w:tcW w:w="102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211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2.课件界面设计美观，布局合理，符合中职学生的认知特点，利于激发学生的学习兴趣</w:t>
            </w:r>
          </w:p>
        </w:tc>
        <w:tc>
          <w:tcPr>
            <w:tcW w:w="92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2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211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创新与实用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1.立意新颖，设计巧妙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1029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11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2.适用于实际教学，有推广性</w:t>
            </w:r>
          </w:p>
        </w:tc>
        <w:tc>
          <w:tcPr>
            <w:tcW w:w="925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2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241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总分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snapToGrid w:val="0"/>
        <w:spacing w:line="540" w:lineRule="exact"/>
        <w:ind w:firstLine="6560" w:firstLineChars="2050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ind w:firstLine="6560" w:firstLineChars="2050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40" w:lineRule="exact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邯山区职教中心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信息化课堂教学比赛评分表</w:t>
      </w:r>
    </w:p>
    <w:p>
      <w:pPr>
        <w:rPr>
          <w:rFonts w:ascii="宋体" w:hAnsi="宋体"/>
          <w:bCs/>
          <w:szCs w:val="21"/>
        </w:rPr>
      </w:pP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授课教师：                课程名称：                      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</w:t>
      </w:r>
    </w:p>
    <w:p>
      <w:pPr>
        <w:ind w:firstLine="210" w:firstLineChars="100"/>
        <w:rPr>
          <w:rFonts w:ascii="宋体" w:hAnsi="宋体"/>
          <w:bCs/>
          <w:szCs w:val="21"/>
        </w:rPr>
      </w:pPr>
    </w:p>
    <w:tbl>
      <w:tblPr>
        <w:tblStyle w:val="5"/>
        <w:tblW w:w="10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7052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4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26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705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评价内容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52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教学设计</w:t>
            </w:r>
          </w:p>
          <w:p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（25分）</w:t>
            </w:r>
          </w:p>
        </w:tc>
        <w:tc>
          <w:tcPr>
            <w:tcW w:w="7052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1目标陈述明确，符合学习主题，针对不同的学习者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2构思新颖，多种信息技术与教学策略有机结合，有利于培养学生思维能力3和学习能力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课堂实施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（50分）</w:t>
            </w:r>
          </w:p>
        </w:tc>
        <w:tc>
          <w:tcPr>
            <w:tcW w:w="7052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1课程引入有趣，充分调动学生的求知欲，目标明确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2面向全体学生，关注个性差异，围绕重点难点实施教学，教师的引导性作用显著，学生是教学的主题，课堂气氛活跃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3教学过程非常有利于学生思考能力、学习能力的培养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4考核方式多元、全面，通过评价工具考核，收集并分析学生学习信息，能够立即反馈给予教学帮助，学生能够很好掌握该内容，能够举一反三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5体现信息技术与教育教学的融合创新，有代表性和推广性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6语言简练、逻辑性强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7衣着得体，表情自然大方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资源与技术应用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（25分）</w:t>
            </w:r>
          </w:p>
        </w:tc>
        <w:tc>
          <w:tcPr>
            <w:tcW w:w="705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1多种先进有效的信息技术辅助教学，具有示范性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2资源非常丰富，制作精美，能促进教学，发挥必需的作用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23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总评</w:t>
            </w:r>
          </w:p>
        </w:tc>
        <w:tc>
          <w:tcPr>
            <w:tcW w:w="705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</w:pPr>
          </w:p>
        </w:tc>
      </w:tr>
    </w:tbl>
    <w:p>
      <w:pPr>
        <w:widowControl/>
        <w:snapToGrid w:val="0"/>
        <w:spacing w:line="360" w:lineRule="auto"/>
        <w:ind w:left="-359" w:leftChars="-171" w:right="840" w:firstLine="210" w:firstLineChars="10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                 </w:t>
      </w:r>
    </w:p>
    <w:p>
      <w:pPr>
        <w:widowControl/>
        <w:snapToGrid w:val="0"/>
        <w:spacing w:line="360" w:lineRule="auto"/>
        <w:ind w:left="-359" w:leftChars="-171" w:right="840" w:firstLine="210" w:firstLineChars="100"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评课人：</w:t>
      </w:r>
    </w:p>
    <w:p>
      <w:pPr>
        <w:snapToGrid w:val="0"/>
        <w:spacing w:line="540" w:lineRule="exact"/>
        <w:ind w:firstLine="6560" w:firstLineChars="2050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2FE"/>
    <w:rsid w:val="00001573"/>
    <w:rsid w:val="000527A7"/>
    <w:rsid w:val="000D4FDF"/>
    <w:rsid w:val="000E6230"/>
    <w:rsid w:val="000F158C"/>
    <w:rsid w:val="0010232B"/>
    <w:rsid w:val="00115385"/>
    <w:rsid w:val="00125052"/>
    <w:rsid w:val="00126437"/>
    <w:rsid w:val="001514A3"/>
    <w:rsid w:val="001606AF"/>
    <w:rsid w:val="001A6F3B"/>
    <w:rsid w:val="001E0C90"/>
    <w:rsid w:val="00215AED"/>
    <w:rsid w:val="00312052"/>
    <w:rsid w:val="00324A34"/>
    <w:rsid w:val="003343A5"/>
    <w:rsid w:val="00383D04"/>
    <w:rsid w:val="0038583F"/>
    <w:rsid w:val="0044345E"/>
    <w:rsid w:val="004748DD"/>
    <w:rsid w:val="00491B97"/>
    <w:rsid w:val="00537647"/>
    <w:rsid w:val="00591773"/>
    <w:rsid w:val="005A2AFA"/>
    <w:rsid w:val="005F2811"/>
    <w:rsid w:val="006445B5"/>
    <w:rsid w:val="0064688B"/>
    <w:rsid w:val="00646C0F"/>
    <w:rsid w:val="0066314D"/>
    <w:rsid w:val="00692DC5"/>
    <w:rsid w:val="006E04F4"/>
    <w:rsid w:val="006F3BA0"/>
    <w:rsid w:val="0075176E"/>
    <w:rsid w:val="00785551"/>
    <w:rsid w:val="00820D0E"/>
    <w:rsid w:val="00855E1A"/>
    <w:rsid w:val="008A551D"/>
    <w:rsid w:val="008B18C6"/>
    <w:rsid w:val="008F22FE"/>
    <w:rsid w:val="00907397"/>
    <w:rsid w:val="00980AB4"/>
    <w:rsid w:val="009D4CF0"/>
    <w:rsid w:val="00A077E4"/>
    <w:rsid w:val="00A235C2"/>
    <w:rsid w:val="00A3320D"/>
    <w:rsid w:val="00A335F3"/>
    <w:rsid w:val="00A33D8D"/>
    <w:rsid w:val="00AF50E2"/>
    <w:rsid w:val="00B33DA0"/>
    <w:rsid w:val="00B439FA"/>
    <w:rsid w:val="00BE5AF7"/>
    <w:rsid w:val="00C53EC2"/>
    <w:rsid w:val="00C806E5"/>
    <w:rsid w:val="00C92890"/>
    <w:rsid w:val="00D92520"/>
    <w:rsid w:val="00D94C8F"/>
    <w:rsid w:val="00E67A5E"/>
    <w:rsid w:val="00E763B5"/>
    <w:rsid w:val="00E96D86"/>
    <w:rsid w:val="00EA161D"/>
    <w:rsid w:val="00EE072C"/>
    <w:rsid w:val="00F04F2A"/>
    <w:rsid w:val="00F9167C"/>
    <w:rsid w:val="00FC3D24"/>
    <w:rsid w:val="00FD3107"/>
    <w:rsid w:val="05F47B64"/>
    <w:rsid w:val="154A7E83"/>
    <w:rsid w:val="4DC96DBD"/>
    <w:rsid w:val="64D1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1401</Characters>
  <Lines>11</Lines>
  <Paragraphs>3</Paragraphs>
  <TotalTime>0</TotalTime>
  <ScaleCrop>false</ScaleCrop>
  <LinksUpToDate>false</LinksUpToDate>
  <CharactersWithSpaces>1643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2017-09-15T02:35:00Z</dcterms:created>
  <dc:creator>Administrator</dc:creator>
  <cp:lastModifiedBy>Administrator</cp:lastModifiedBy>
  <cp:lastPrinted>2018-01-25T01:38:00Z</cp:lastPrinted>
  <dcterms:modified xsi:type="dcterms:W3CDTF">2019-03-31T09:54:46Z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